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附件3：</w:t>
      </w:r>
    </w:p>
    <w:p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化工与材料工程系</w:t>
      </w:r>
      <w:r>
        <w:rPr>
          <w:rFonts w:hint="eastAsia"/>
          <w:b/>
          <w:sz w:val="28"/>
          <w:szCs w:val="28"/>
        </w:rPr>
        <w:t>“</w:t>
      </w:r>
      <w:r>
        <w:rPr>
          <w:b/>
          <w:bCs/>
          <w:sz w:val="28"/>
          <w:szCs w:val="28"/>
        </w:rPr>
        <w:t>双师型</w:t>
      </w:r>
      <w:r>
        <w:rPr>
          <w:rFonts w:hint="eastAsia"/>
          <w:b/>
          <w:sz w:val="28"/>
          <w:szCs w:val="28"/>
        </w:rPr>
        <w:t>”</w:t>
      </w:r>
      <w:r>
        <w:rPr>
          <w:b/>
          <w:bCs/>
          <w:sz w:val="28"/>
          <w:szCs w:val="28"/>
        </w:rPr>
        <w:t>教师考核表</w:t>
      </w:r>
    </w:p>
    <w:bookmarkEnd w:id="0"/>
    <w:p>
      <w:pPr>
        <w:tabs>
          <w:tab w:val="left" w:pos="8306"/>
        </w:tabs>
        <w:wordWrap w:val="0"/>
        <w:spacing w:before="312" w:beforeLines="100"/>
        <w:rPr>
          <w:b/>
          <w:sz w:val="24"/>
        </w:rPr>
      </w:pPr>
      <w:r>
        <w:rPr>
          <w:b/>
          <w:sz w:val="24"/>
        </w:rPr>
        <w:t>姓名：                                                       年    月</w:t>
      </w:r>
    </w:p>
    <w:tbl>
      <w:tblPr>
        <w:tblStyle w:val="5"/>
        <w:tblW w:w="91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08"/>
        <w:gridCol w:w="6265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18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项 目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626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说        明</w:t>
            </w:r>
          </w:p>
        </w:tc>
        <w:tc>
          <w:tcPr>
            <w:tcW w:w="734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师德师风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6265" w:type="dxa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  <w:lang w:bidi="ar"/>
              </w:rPr>
              <w:t>拥护中国共产党的领导，</w:t>
            </w:r>
            <w:r>
              <w:rPr>
                <w:szCs w:val="21"/>
              </w:rPr>
              <w:t>政治觉悟高，关心时事政治。热爱教育事业，坚持以人为本，具有服务理念，师德高尚。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优秀8—10分，一般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分，较差1—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分。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理论教学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6265" w:type="dxa"/>
            <w:vAlign w:val="center"/>
          </w:tcPr>
          <w:p>
            <w:pPr>
              <w:spacing w:line="360" w:lineRule="exact"/>
              <w:ind w:left="2" w:hanging="2" w:hangingChars="1"/>
              <w:rPr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szCs w:val="21"/>
              </w:rPr>
              <w:t>、精通相关专业理论知识并能熟练运用于教学。</w:t>
            </w:r>
          </w:p>
          <w:p>
            <w:pPr>
              <w:spacing w:line="360" w:lineRule="exact"/>
              <w:ind w:left="2" w:hanging="2" w:hangingChars="1"/>
              <w:rPr>
                <w:szCs w:val="21"/>
              </w:rPr>
            </w:pPr>
            <w:r>
              <w:rPr>
                <w:szCs w:val="21"/>
              </w:rPr>
              <w:t>优秀8—10分，一般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分，较差1—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分。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65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b/>
                <w:szCs w:val="21"/>
              </w:rPr>
              <w:t>2</w:t>
            </w:r>
            <w:r>
              <w:rPr>
                <w:szCs w:val="21"/>
              </w:rPr>
              <w:t>、本学期完成或超额完成学校规定的教学任务。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szCs w:val="21"/>
              </w:rPr>
              <w:t>优秀8—10分，一般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分，较差1—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分。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65" w:type="dxa"/>
            <w:vAlign w:val="center"/>
          </w:tcPr>
          <w:p>
            <w:pPr>
              <w:spacing w:line="360" w:lineRule="exact"/>
              <w:ind w:left="2" w:hanging="2" w:hangingChars="1"/>
              <w:rPr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szCs w:val="21"/>
              </w:rPr>
              <w:t>、教学有创新、效果好，</w:t>
            </w:r>
            <w:r>
              <w:rPr>
                <w:rFonts w:hint="eastAsia"/>
                <w:szCs w:val="21"/>
              </w:rPr>
              <w:t>综合评教排名不得在后10%。</w:t>
            </w:r>
          </w:p>
          <w:p>
            <w:pPr>
              <w:spacing w:line="360" w:lineRule="exact"/>
              <w:ind w:left="2" w:hanging="2" w:hangingChars="1"/>
              <w:rPr>
                <w:szCs w:val="21"/>
              </w:rPr>
            </w:pPr>
            <w:r>
              <w:rPr>
                <w:szCs w:val="21"/>
              </w:rPr>
              <w:t>优秀8—10分，一般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分，较差1—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分。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65" w:type="dxa"/>
            <w:vAlign w:val="center"/>
          </w:tcPr>
          <w:p>
            <w:pPr>
              <w:spacing w:line="360" w:lineRule="exact"/>
              <w:ind w:left="2" w:hanging="2" w:hangingChars="1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4</w:t>
            </w:r>
            <w:r>
              <w:rPr>
                <w:szCs w:val="21"/>
              </w:rPr>
              <w:t>、主持（或主要参与）教学改革研究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开发应用型课程，并有论文发表或教材出版。</w:t>
            </w:r>
          </w:p>
          <w:p>
            <w:pPr>
              <w:spacing w:line="360" w:lineRule="exact"/>
              <w:ind w:left="2" w:hanging="2" w:hangingChars="1"/>
              <w:rPr>
                <w:szCs w:val="21"/>
              </w:rPr>
            </w:pPr>
            <w:r>
              <w:rPr>
                <w:szCs w:val="21"/>
              </w:rPr>
              <w:t>优秀8—10分，一般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分，较差1—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分。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实践实训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6265" w:type="dxa"/>
            <w:vAlign w:val="center"/>
          </w:tcPr>
          <w:p>
            <w:pPr>
              <w:spacing w:line="360" w:lineRule="exact"/>
              <w:ind w:left="2" w:hanging="2" w:hangingChars="1"/>
              <w:rPr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szCs w:val="21"/>
              </w:rPr>
              <w:t>、能独立指导学生的专业实践实训教学活动，学生满意率高。</w:t>
            </w:r>
          </w:p>
          <w:p>
            <w:pPr>
              <w:spacing w:line="360" w:lineRule="exact"/>
              <w:ind w:left="2" w:hanging="2" w:hangingChars="1"/>
              <w:rPr>
                <w:szCs w:val="21"/>
              </w:rPr>
            </w:pPr>
            <w:r>
              <w:rPr>
                <w:szCs w:val="21"/>
              </w:rPr>
              <w:t>优秀8—10分，一般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分，较差1—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分。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65" w:type="dxa"/>
            <w:vAlign w:val="center"/>
          </w:tcPr>
          <w:p>
            <w:pPr>
              <w:spacing w:line="360" w:lineRule="exact"/>
              <w:ind w:left="2" w:hanging="2" w:hangingChars="1"/>
              <w:rPr>
                <w:szCs w:val="21"/>
              </w:rPr>
            </w:pPr>
            <w:r>
              <w:rPr>
                <w:b/>
                <w:szCs w:val="21"/>
              </w:rPr>
              <w:t>2</w:t>
            </w:r>
            <w:r>
              <w:rPr>
                <w:szCs w:val="21"/>
              </w:rPr>
              <w:t>、指导学生参加省级及以上学科竞赛并获奖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exact"/>
              <w:ind w:left="2" w:hanging="2" w:hangingChars="1"/>
              <w:rPr>
                <w:b/>
                <w:szCs w:val="21"/>
              </w:rPr>
            </w:pPr>
            <w:r>
              <w:rPr>
                <w:szCs w:val="21"/>
              </w:rPr>
              <w:t>优秀8—10分，一般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分，较差1—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分。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65" w:type="dxa"/>
            <w:vAlign w:val="center"/>
          </w:tcPr>
          <w:p>
            <w:pPr>
              <w:spacing w:line="360" w:lineRule="exact"/>
              <w:ind w:left="2" w:hanging="2" w:hangingChars="1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szCs w:val="21"/>
              </w:rPr>
              <w:t>、指导学生完成大学生创新创业训练项目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exact"/>
              <w:ind w:left="2" w:hanging="2" w:hangingChars="1"/>
              <w:rPr>
                <w:b/>
                <w:szCs w:val="21"/>
              </w:rPr>
            </w:pPr>
            <w:r>
              <w:rPr>
                <w:szCs w:val="21"/>
              </w:rPr>
              <w:t>优秀8—10分，一般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分，较差1—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分。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65" w:type="dxa"/>
            <w:vAlign w:val="center"/>
          </w:tcPr>
          <w:p>
            <w:pPr>
              <w:spacing w:line="360" w:lineRule="exact"/>
              <w:ind w:left="2" w:hanging="2" w:hangingChars="1"/>
              <w:rPr>
                <w:szCs w:val="21"/>
              </w:rPr>
            </w:pPr>
            <w:r>
              <w:rPr>
                <w:b/>
                <w:szCs w:val="21"/>
              </w:rPr>
              <w:t>4</w:t>
            </w:r>
            <w:r>
              <w:rPr>
                <w:szCs w:val="21"/>
              </w:rPr>
              <w:t>、指导学生毕业设计（论文）获湖北省优秀学士学位论文。</w:t>
            </w:r>
          </w:p>
          <w:p>
            <w:pPr>
              <w:spacing w:line="360" w:lineRule="exact"/>
              <w:ind w:left="2" w:hanging="2" w:hangingChars="1"/>
              <w:rPr>
                <w:szCs w:val="21"/>
              </w:rPr>
            </w:pPr>
            <w:r>
              <w:rPr>
                <w:szCs w:val="21"/>
              </w:rPr>
              <w:t>优秀8—10分，一般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分，较差1—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分。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科学研究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（加分项）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265" w:type="dxa"/>
            <w:vAlign w:val="center"/>
          </w:tcPr>
          <w:p>
            <w:pPr>
              <w:spacing w:line="360" w:lineRule="exact"/>
              <w:ind w:left="2" w:hanging="2" w:hangingChars="1"/>
              <w:rPr>
                <w:rFonts w:hint="eastAsia"/>
                <w:szCs w:val="21"/>
              </w:rPr>
            </w:pPr>
            <w:r>
              <w:rPr>
                <w:szCs w:val="21"/>
              </w:rPr>
              <w:t>主持（或主要参与）</w:t>
            </w:r>
            <w:r>
              <w:rPr>
                <w:rFonts w:hint="eastAsia"/>
                <w:szCs w:val="21"/>
              </w:rPr>
              <w:t>科研课题或企业技改项目等。</w:t>
            </w:r>
          </w:p>
          <w:p>
            <w:pPr>
              <w:spacing w:line="360" w:lineRule="exact"/>
              <w:ind w:left="2" w:hanging="2" w:hangingChars="1"/>
              <w:rPr>
                <w:b/>
                <w:szCs w:val="21"/>
              </w:rPr>
            </w:pPr>
            <w:r>
              <w:rPr>
                <w:szCs w:val="21"/>
              </w:rPr>
              <w:t>优秀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0分，一般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分，较差1—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分。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技术服务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（加分项）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265" w:type="dxa"/>
            <w:vAlign w:val="center"/>
          </w:tcPr>
          <w:p>
            <w:pPr>
              <w:spacing w:line="360" w:lineRule="exact"/>
              <w:ind w:left="2" w:hanging="2" w:hangingChars="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具有行业、企业和学会兼职或经历等。</w:t>
            </w:r>
          </w:p>
          <w:p>
            <w:pPr>
              <w:spacing w:line="360" w:lineRule="exact"/>
              <w:ind w:left="2" w:hanging="2" w:hangingChars="1"/>
              <w:rPr>
                <w:b/>
                <w:szCs w:val="21"/>
              </w:rPr>
            </w:pPr>
            <w:r>
              <w:rPr>
                <w:szCs w:val="21"/>
              </w:rPr>
              <w:t>优秀8—10分，一般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分，较差1—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分。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39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    计</w:t>
            </w:r>
          </w:p>
        </w:tc>
        <w:tc>
          <w:tcPr>
            <w:tcW w:w="734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before="156" w:beforeLines="50" w:after="156" w:afterLines="50"/>
        <w:ind w:right="-340" w:rightChars="-162"/>
        <w:rPr>
          <w:szCs w:val="21"/>
        </w:rPr>
      </w:pPr>
      <w:r>
        <w:rPr>
          <w:b/>
          <w:szCs w:val="21"/>
        </w:rPr>
        <w:t>注：</w:t>
      </w:r>
      <w:r>
        <w:rPr>
          <w:szCs w:val="21"/>
        </w:rPr>
        <w:t>优秀：</w:t>
      </w:r>
      <w:r>
        <w:rPr>
          <w:rFonts w:hint="eastAsia"/>
          <w:szCs w:val="21"/>
        </w:rPr>
        <w:t>80</w:t>
      </w:r>
      <w:r>
        <w:rPr>
          <w:szCs w:val="21"/>
        </w:rPr>
        <w:t>—100分</w:t>
      </w:r>
      <w:r>
        <w:rPr>
          <w:rFonts w:hint="eastAsia"/>
          <w:szCs w:val="21"/>
        </w:rPr>
        <w:t>；</w:t>
      </w:r>
      <w:r>
        <w:rPr>
          <w:szCs w:val="21"/>
        </w:rPr>
        <w:t>合格：</w:t>
      </w:r>
      <w:r>
        <w:rPr>
          <w:rFonts w:hint="eastAsia"/>
          <w:szCs w:val="21"/>
        </w:rPr>
        <w:t>6</w:t>
      </w:r>
      <w:r>
        <w:rPr>
          <w:szCs w:val="21"/>
        </w:rPr>
        <w:t>0—</w:t>
      </w:r>
      <w:r>
        <w:rPr>
          <w:rFonts w:hint="eastAsia"/>
          <w:szCs w:val="21"/>
        </w:rPr>
        <w:t>7</w:t>
      </w:r>
      <w:r>
        <w:rPr>
          <w:szCs w:val="21"/>
        </w:rPr>
        <w:t>9分；不合格：</w:t>
      </w:r>
      <w:r>
        <w:rPr>
          <w:rFonts w:hint="eastAsia"/>
          <w:szCs w:val="21"/>
        </w:rPr>
        <w:t>6</w:t>
      </w:r>
      <w:r>
        <w:rPr>
          <w:szCs w:val="21"/>
        </w:rPr>
        <w:t>0分以下。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6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061D6"/>
    <w:rsid w:val="13006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2018-04-25T03:29:00Z</dcterms:created>
  <dc:creator>紫忆1382531108</dc:creator>
  <cp:lastModifiedBy>紫忆1382531108</cp:lastModifiedBy>
  <dcterms:modified xsi:type="dcterms:W3CDTF">2018-04-25T03:30:10Z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